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43A55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30"/>
          <w:szCs w:val="30"/>
          <w:lang w:eastAsia="hr-HR"/>
        </w:rPr>
        <w:t>OBRAZLOŽENJE POLUGODIŠNJEG IZVJEŠTAJA O IZVRŠENJU FINANCIJSKOG PLAN ZA RAZDOBLJE OD 1. SIJEČNJA DO 30. LIPNJA 2026. GODINE</w:t>
      </w:r>
    </w:p>
    <w:p w14:paraId="1AAE89B3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UVOD I PRAVNA OSNOVA</w:t>
      </w:r>
    </w:p>
    <w:p w14:paraId="34E5620F" w14:textId="42EB4E5D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Pučko otvoreno učilište „Augustin Vivoda“ Buzet (u daljnjem tekstu: Učilište) je proračunski korisnik Grada Buzeta. Osnovna djelatnost Učilišta obuhvaća kulturnu djelatnost, organizaciju manifestacija, kinoprikazivačku djelatnost te ostale popratne kulturno-edukativne programe od interesa za Grad Buzet.</w:t>
      </w:r>
    </w:p>
    <w:p w14:paraId="5EEF9E9B" w14:textId="2F39BA7B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Učilišta za 2026. godinu usvojen je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461.301,64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 Tijekom prvog polugodišta bilo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izmjena i dopuna Financijskog plana (Rebalansa).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Tekući plan iznosi 363.298,47 EUR.</w:t>
      </w:r>
    </w:p>
    <w:p w14:paraId="29A49340" w14:textId="77777777" w:rsidR="00557A92" w:rsidRPr="00557A92" w:rsidRDefault="00000000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33107CEF">
          <v:rect id="_x0000_i1025" style="width:0;height:.75pt" o:hralign="center" o:hrstd="t" o:hr="t" fillcolor="#a0a0a0" stroked="f"/>
        </w:pict>
      </w:r>
    </w:p>
    <w:p w14:paraId="29B1CA27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OBRAZLOŽENJE OPĆEG DIJELA FINANCIJSKOG PLANA</w:t>
      </w:r>
    </w:p>
    <w:p w14:paraId="24A51415" w14:textId="77777777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U razdoblju od 01.01. do 30.06.2026. godine, poslovanje Učilišta obilježeno je sljedećim financijskim kretanjima: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4"/>
        <w:gridCol w:w="2833"/>
        <w:gridCol w:w="3628"/>
        <w:gridCol w:w="3099"/>
      </w:tblGrid>
      <w:tr w:rsidR="00557A92" w:rsidRPr="00557A92" w14:paraId="453009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04244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Kategorija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FB2655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Plan za 2026. (EUR)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FA7FFF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Ostvareno 1-6/2026 (EUR)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0D0971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Indeks ostvarenja (%)</w:t>
            </w:r>
          </w:p>
        </w:tc>
      </w:tr>
      <w:tr w:rsidR="00557A92" w:rsidRPr="00557A92" w14:paraId="22DED84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EAFD00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UKUPNI PRIHODI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F8CB3A" w14:textId="6515A503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</w:t>
            </w:r>
            <w:r w:rsidR="008B3A1C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3.298,47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99754C" w14:textId="44F6315E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172.257,82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359697" w14:textId="51822460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47.79</w:t>
            </w:r>
            <w:r w:rsidRPr="00557A9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</w:tr>
      <w:tr w:rsidR="00557A92" w:rsidRPr="00557A92" w14:paraId="23ABE6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1AEE56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UKUPNI RASHODI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362E5C" w14:textId="01BA52FD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363.298,47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D6672" w14:textId="732658D4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160.256,06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701A3F" w14:textId="578B7674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44,11</w:t>
            </w:r>
            <w:r w:rsidRPr="00557A9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%</w:t>
            </w:r>
          </w:p>
        </w:tc>
      </w:tr>
      <w:tr w:rsidR="00557A92" w:rsidRPr="00557A92" w14:paraId="47186C8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B2356A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RAZLIKA – VIŠAK / MANJAK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7E7FF" w14:textId="513D3419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BD5DD" w14:textId="50B40EC3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12.001,76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5849EA" w14:textId="77777777" w:rsidR="00557A92" w:rsidRPr="00557A92" w:rsidRDefault="00557A92" w:rsidP="00557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557A9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</w:tbl>
    <w:p w14:paraId="0F092F33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2.1. Prihodi i primici</w:t>
      </w:r>
    </w:p>
    <w:p w14:paraId="6E646010" w14:textId="72CFBD62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prihodi u prvom polugodištu ostvareni su u iznosu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172.257,82 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EUR, što čini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47,79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% od godišnjeg plana. Struktura ostvarenih prihoda po izvorima financiranja je sljedeća:</w:t>
      </w:r>
    </w:p>
    <w:p w14:paraId="1BC629EB" w14:textId="6DD27BE2" w:rsidR="00557A92" w:rsidRPr="00557A92" w:rsidRDefault="00557A92" w:rsidP="0055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11 - Opći prihodi i primici (Sredstva proračuna Grada Buzeta):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128.148,13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47,34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% plana). Ova sredstva utrošena su namjenski za financiranje redovnog poslovanja, plaće zaposlenika i materijalne troškove ustanove.</w:t>
      </w:r>
    </w:p>
    <w:p w14:paraId="1C42E9A0" w14:textId="07999918" w:rsidR="00557A92" w:rsidRPr="00557A92" w:rsidRDefault="00557A92" w:rsidP="0055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31 - Vlastiti prihodi (Prihodi od ulaznica, najma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…</w:t>
      </w: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):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22.889,69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(36,42%)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Sredstva se odnose na prihod od najma poslovnog prostora, prodaja suvenira, glazbeno-scenski programi, ulaznice kino i Kaštel Petrapilosa te od knjižnice i muzeja.</w:t>
      </w:r>
    </w:p>
    <w:p w14:paraId="4E095D04" w14:textId="00D76480" w:rsidR="00557A92" w:rsidRPr="00557A92" w:rsidRDefault="00557A92" w:rsidP="0055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Izvor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</w:t>
      </w: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Prihodi od pomoći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Kapitalne i tekuće od drugih proračuna - </w:t>
      </w: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Ministarstvo kulture,</w:t>
      </w:r>
      <w:r w:rsidR="009273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HAVC)</w:t>
      </w: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Ostvareno je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20.920,00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Odobrena sredstva za nabavu knjižnične građe, potpora za kino djelatnost i za restauratorske radove na muzejskoj građi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8423DA4" w14:textId="2CA99E7A" w:rsidR="00557A92" w:rsidRPr="00557A92" w:rsidRDefault="00557A92" w:rsidP="00557A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Izvor </w:t>
      </w:r>
      <w:r w:rsidR="0092738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61</w:t>
      </w: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- Donacije: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Ostvareno je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300,00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</w:t>
      </w:r>
    </w:p>
    <w:p w14:paraId="00439898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2.2. Rashodi i izdaci</w:t>
      </w:r>
    </w:p>
    <w:p w14:paraId="3C41B4CB" w14:textId="5DD71369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Ukupni rashodi u izvještajnom razdoblju iznose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160.256,06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EUR, odnosno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44,1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% od godišnjeg plana. Analiza rashoda po ekonomskoj klasifikaciji:</w:t>
      </w:r>
    </w:p>
    <w:p w14:paraId="3FC1A4B7" w14:textId="387A717D" w:rsidR="00557A92" w:rsidRPr="00557A92" w:rsidRDefault="00557A92" w:rsidP="00557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3 - Rashodi poslovanja: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Ostvareni su u iznosu od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147.920,12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</w:t>
      </w:r>
    </w:p>
    <w:p w14:paraId="02D8E7F6" w14:textId="485A7CD2" w:rsidR="00557A92" w:rsidRPr="00557A92" w:rsidRDefault="00557A92" w:rsidP="00557A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Skupina 31 - Rashodi za zaposlene: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Izvršeni su u iznosu od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103.705,82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 (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48,48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% plana), što je u skladu s planiranom dinamikom i zakonskim obvezama.</w:t>
      </w:r>
    </w:p>
    <w:p w14:paraId="564775EC" w14:textId="3803FBC3" w:rsidR="00557A92" w:rsidRPr="00557A92" w:rsidRDefault="00557A92" w:rsidP="00557A9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Skupina 32 - Materijalni rashodi: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Izvršeni su u iznosu od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44.214,30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 (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35,90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plana). </w:t>
      </w:r>
    </w:p>
    <w:p w14:paraId="70D0AB1B" w14:textId="26399C80" w:rsidR="00557A92" w:rsidRPr="00557A92" w:rsidRDefault="00557A92" w:rsidP="00557A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Razred 4 - Rashodi za nabavu nefinancijske imovine: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Ostvareni su u iznosu od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12.335,94 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EUR. Sredstva su utrošena za </w:t>
      </w:r>
      <w:r w:rsidR="00927386">
        <w:rPr>
          <w:rFonts w:ascii="Times New Roman" w:eastAsia="Times New Roman" w:hAnsi="Times New Roman" w:cs="Times New Roman"/>
          <w:sz w:val="24"/>
          <w:szCs w:val="24"/>
          <w:lang w:eastAsia="hr-HR"/>
        </w:rPr>
        <w:t>nabavu uredske opreme i knjiga.</w:t>
      </w:r>
    </w:p>
    <w:p w14:paraId="10411F1A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2.3. Preneseni višak / manjak poslovanja</w:t>
      </w:r>
    </w:p>
    <w:p w14:paraId="2D52D853" w14:textId="7FFD6A52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2026. godinu prenesen je višak prihoda iz prethodnog razdoblja u iznosu od </w:t>
      </w:r>
      <w:r w:rsid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>2.878,97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EUR.</w:t>
      </w:r>
    </w:p>
    <w:p w14:paraId="5E41C49D" w14:textId="5F464BED" w:rsidR="00557A92" w:rsidRPr="00557A92" w:rsidRDefault="00557A92" w:rsidP="00557A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Navedeni višak planira se utrošiti za </w:t>
      </w:r>
      <w:r w:rsid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Usluge tekućeg i investicijskog održavanja te za restauratorske radove na muzejskoj građi. </w:t>
      </w:r>
    </w:p>
    <w:p w14:paraId="29D0DD7A" w14:textId="77777777" w:rsidR="00557A92" w:rsidRPr="00557A92" w:rsidRDefault="00000000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1A95A79B">
          <v:rect id="_x0000_i1026" style="width:0;height:.75pt" o:hralign="center" o:hrstd="t" o:hr="t" fillcolor="#a0a0a0" stroked="f"/>
        </w:pict>
      </w:r>
    </w:p>
    <w:p w14:paraId="4CCD6CA8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OBRAZLOŽENJE POSEBNOG DIJELA FINANCIJSKOG PLANA (PROGRAMI I AKTIVNOSTI)</w:t>
      </w:r>
    </w:p>
    <w:p w14:paraId="7FCE52FA" w14:textId="77777777" w:rsid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Izvršenje programa i aktivnosti u prvom polugodištu 2026. godine odvijalo se prema sljedećoj dinamici:</w:t>
      </w:r>
    </w:p>
    <w:p w14:paraId="6A17D91F" w14:textId="77777777" w:rsidR="007C328D" w:rsidRPr="00557A92" w:rsidRDefault="007C328D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A530AB" w14:textId="77777777" w:rsidR="007C328D" w:rsidRPr="001B15B0" w:rsidRDefault="007C328D" w:rsidP="007C32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1B15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Aktivnost A101301: Redovna djelatnost Pučkog otvorenog učilišta</w:t>
      </w:r>
    </w:p>
    <w:p w14:paraId="4C48DA86" w14:textId="77777777" w:rsidR="007C328D" w:rsidRPr="007C328D" w:rsidRDefault="007C328D" w:rsidP="007C32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Izvorni plan: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267.501,64 EUR</w:t>
      </w:r>
    </w:p>
    <w:p w14:paraId="21F42EAF" w14:textId="77777777" w:rsidR="007C328D" w:rsidRPr="007C328D" w:rsidRDefault="007C328D" w:rsidP="007C32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Tekući plan: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281.098,47 EUR</w:t>
      </w:r>
    </w:p>
    <w:p w14:paraId="2FAFA78C" w14:textId="77777777" w:rsidR="007C328D" w:rsidRPr="007C328D" w:rsidRDefault="007C328D" w:rsidP="007C32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Izvršenje (1-6):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137.574,16 EUR</w:t>
      </w:r>
    </w:p>
    <w:p w14:paraId="00BB73A4" w14:textId="77777777" w:rsidR="007C328D" w:rsidRDefault="007C328D" w:rsidP="007C328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Indeks izvršenja tekućeg plana: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48,94 %</w:t>
      </w:r>
    </w:p>
    <w:p w14:paraId="30457A98" w14:textId="77777777" w:rsidR="00146F89" w:rsidRPr="007C328D" w:rsidRDefault="00146F89" w:rsidP="00146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4FFC86" w14:textId="77777777" w:rsidR="007C328D" w:rsidRPr="007C328D" w:rsidRDefault="007C328D" w:rsidP="007C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Obrazloženje: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 izvještajnom razdoblju od 1. siječnja do 30. lipnja, financijske aktivnosti u okviru redovne djelatnosti Učilišta odvijale su se uravnoteženo i pratile su planiranu dinamiku, ostvarivši 48,94 % tekućeg plana.</w:t>
      </w:r>
    </w:p>
    <w:p w14:paraId="41975F05" w14:textId="77777777" w:rsidR="007C328D" w:rsidRPr="007C328D" w:rsidRDefault="007C328D" w:rsidP="007C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>Izvršenje po izvorima financiranja i ekonomskoj klasifikaciji rashoda prikazuje se kako slijedi:</w:t>
      </w:r>
    </w:p>
    <w:p w14:paraId="67252CF3" w14:textId="77777777" w:rsidR="007C328D" w:rsidRPr="007C328D" w:rsidRDefault="007C328D" w:rsidP="007C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Izvor 1.1. Opći prihodi i primici (Gradski proračun)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Iz ovog izvora za redovan rad utrošeno je ukupno </w:t>
      </w: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123.174,48 EUR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(tekući plan: 249.749,50 EUR), što je namijenjeno za:</w:t>
      </w:r>
    </w:p>
    <w:p w14:paraId="183A5E9D" w14:textId="62B991EE" w:rsidR="007C328D" w:rsidRPr="007C328D" w:rsidRDefault="007C328D" w:rsidP="007C32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Rashode za zaposlene (Skupina 31):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Isplaćeno je </w:t>
      </w: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103.698,98 EUR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(plaće za redovan rad iznose 82.255,64 EUR, doprinosi za zdravstveno osiguranje 13.572,18 EUR, a ostali rashodi za zaposlene 7.871,16 EUR).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Iznosi se odnose na 6 zaposlenika.</w:t>
      </w:r>
    </w:p>
    <w:p w14:paraId="124C7BF0" w14:textId="0BD6AFB5" w:rsidR="007C328D" w:rsidRPr="007C328D" w:rsidRDefault="007C328D" w:rsidP="007C328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Materijalne rashode (Skupina 32):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Utrošeno je </w:t>
      </w: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19.475,50 EUR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pokriće osnovnih troškova ustanove, od čega se najveći dijelovi odnose na usluge tekućeg i investicijskog održavanja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čega je većina za uređenje 2. kata u zgradi Narodnog doma 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>(5.475,16 EUR), troškove energije (4.312,84 EUR), računalne usluge (3.343,38 EUR) te premije osiguranja (3.149,11 EUR).</w:t>
      </w:r>
    </w:p>
    <w:p w14:paraId="50756EB6" w14:textId="77777777" w:rsidR="007C328D" w:rsidRPr="007C328D" w:rsidRDefault="007C328D" w:rsidP="007C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2. Izvor 3.1. Prihodi za posebne namjene (Vlastiti/namjenski prihodi)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Iz ovog izvora izvršeno je ukupno </w:t>
      </w: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12.550,71 EUR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(tekući plan: 29.500,00 EUR), a sredstva su u potpunosti usmjerena na materijalne i financijske potrebe programa:</w:t>
      </w:r>
    </w:p>
    <w:p w14:paraId="4425205F" w14:textId="77777777" w:rsidR="007C328D" w:rsidRPr="007C328D" w:rsidRDefault="007C328D" w:rsidP="007C32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Rashodi za zaposlene (Skupina 31):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Izvršeno je minimalnih </w:t>
      </w: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6,84 EUR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ostale rashode.</w:t>
      </w:r>
    </w:p>
    <w:p w14:paraId="5F57B7B3" w14:textId="77777777" w:rsidR="007C328D" w:rsidRPr="007C328D" w:rsidRDefault="007C328D" w:rsidP="007C328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Materijalne rashode (Skupina 32):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Realizirano je </w:t>
      </w: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12.543,87 EUR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>. Sredstva su raspoređena na uredski materijal (1.923,55 EUR), ostale nespomenute usluge (1.822,21 EUR), materijal i sirovine (1.351,20 EUR), usluge telefona i pošte (1.404,10 EUR) te ostale operativne tekuće troškove (službena putovanja, intelektualne usluge, komunalije).</w:t>
      </w:r>
    </w:p>
    <w:p w14:paraId="036C9D93" w14:textId="6D4A3233" w:rsidR="007C328D" w:rsidRDefault="007C328D" w:rsidP="007C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3. Izvor 9.3. Višak prihoda - Vlastiti prihodi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Tijekom prvog polugodišta utrošen je preneseni višak u iznosu od </w:t>
      </w:r>
      <w:r w:rsidRPr="007C328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1.848,97 EUR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. Sva sredstva namjenski su utrošena unutar </w:t>
      </w:r>
      <w:r w:rsidRPr="007C328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Materijalnih rashoda (Skupina 32)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preciznije za nabavu materijala i dijelova za tekuće i investicijsko održavanje </w:t>
      </w:r>
      <w:r w:rsid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uređenje 2. kata u zgradi Narodnog doma </w:t>
      </w:r>
      <w:r w:rsidRPr="007C328D">
        <w:rPr>
          <w:rFonts w:ascii="Times New Roman" w:eastAsia="Times New Roman" w:hAnsi="Times New Roman" w:cs="Times New Roman"/>
          <w:sz w:val="24"/>
          <w:szCs w:val="24"/>
          <w:lang w:eastAsia="hr-HR"/>
        </w:rPr>
        <w:t>(stavka 3224).</w:t>
      </w:r>
    </w:p>
    <w:p w14:paraId="52EDC106" w14:textId="77777777" w:rsidR="001B15B0" w:rsidRDefault="001B15B0" w:rsidP="007C32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A4679A" w14:textId="77777777" w:rsidR="001B15B0" w:rsidRPr="001B15B0" w:rsidRDefault="001B15B0" w:rsidP="001B15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1B15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Aktivnost A101305: Projekt Postkulterra</w:t>
      </w:r>
    </w:p>
    <w:p w14:paraId="7127630C" w14:textId="77777777" w:rsidR="001B15B0" w:rsidRPr="001B15B0" w:rsidRDefault="001B15B0" w:rsidP="001B15B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5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Izvorni plan:</w:t>
      </w:r>
      <w:r w:rsidRP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21.200,00 EUR</w:t>
      </w:r>
    </w:p>
    <w:p w14:paraId="0F0FB6FA" w14:textId="77777777" w:rsidR="001B15B0" w:rsidRPr="001B15B0" w:rsidRDefault="001B15B0" w:rsidP="001B15B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5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Tekući plan:</w:t>
      </w:r>
      <w:r w:rsidRP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11.200,00 EUR</w:t>
      </w:r>
    </w:p>
    <w:p w14:paraId="68EB52C9" w14:textId="77777777" w:rsidR="001B15B0" w:rsidRPr="001B15B0" w:rsidRDefault="001B15B0" w:rsidP="001B15B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5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Izvršenje (1-6):</w:t>
      </w:r>
      <w:r w:rsidRP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380,08 EUR</w:t>
      </w:r>
    </w:p>
    <w:p w14:paraId="26D3CB2D" w14:textId="77777777" w:rsidR="001B15B0" w:rsidRDefault="001B15B0" w:rsidP="001B15B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5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Indeks izvršenja tekućeg plana:</w:t>
      </w:r>
      <w:r w:rsidRP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3,39 %</w:t>
      </w:r>
    </w:p>
    <w:p w14:paraId="0052B9C9" w14:textId="77777777" w:rsidR="00146F89" w:rsidRPr="001B15B0" w:rsidRDefault="00146F89" w:rsidP="00146F8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26553E" w14:textId="42DC0AF9" w:rsidR="001B15B0" w:rsidRDefault="001B15B0" w:rsidP="001B1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5B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Obrazloženje:</w:t>
      </w:r>
      <w:r w:rsidRP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 izvještajnom razdoblju od 1. siječnja do 30. lipnja, aktivnost na projektu "Postkulterra"</w:t>
      </w:r>
      <w:r w:rsidR="00425F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Kaštel Petrapilosa,</w:t>
      </w:r>
      <w:r w:rsidRP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bilježi nisku razinu financijskog izvršenja od svega 3,39 % u odnosu na tekući plan. Ovako nisko izvršenje u prvom polugodištu uobičajeno je za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projekt</w:t>
      </w:r>
      <w:r w:rsidRPr="001B15B0">
        <w:rPr>
          <w:rFonts w:ascii="Times New Roman" w:eastAsia="Times New Roman" w:hAnsi="Times New Roman" w:cs="Times New Roman"/>
          <w:sz w:val="24"/>
          <w:szCs w:val="24"/>
          <w:lang w:eastAsia="hr-HR"/>
        </w:rPr>
        <w:t>, budući da se glavnina ugovorenih aktivnosti, manifestacija i pripadajućih plaćanja planira i realizira u drugoj polovici godine.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Ono što je ipak ostvareno uglavnom se odnosi na održavanje samog </w:t>
      </w:r>
      <w:r w:rsidR="00425F38">
        <w:rPr>
          <w:rFonts w:ascii="Times New Roman" w:eastAsia="Times New Roman" w:hAnsi="Times New Roman" w:cs="Times New Roman"/>
          <w:sz w:val="24"/>
          <w:szCs w:val="24"/>
          <w:lang w:eastAsia="hr-HR"/>
        </w:rPr>
        <w:t>Kaštel Petrapilosa.</w:t>
      </w:r>
    </w:p>
    <w:p w14:paraId="53F5F0D6" w14:textId="77777777" w:rsidR="00425F38" w:rsidRDefault="00425F38" w:rsidP="001B15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9867BC" w14:textId="77777777" w:rsidR="00146F89" w:rsidRDefault="00146F89" w:rsidP="0014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Kapitalni projekt K101301: Nabava knjiga, umjetničkih dijela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Izvorni plan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: 20.600,00 EUR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Tekući plan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: 20.450,00 EUR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Izvršenje (1-6):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10.226,91 EUR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Indeks izvršenja tekućeg plana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: 50,01 %</w:t>
      </w:r>
    </w:p>
    <w:p w14:paraId="0E74D641" w14:textId="5DAB8EF6" w:rsidR="00146F89" w:rsidRPr="00146F89" w:rsidRDefault="00146F89" w:rsidP="00146F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Obrazloženje: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 izvještajnom razdoblju od 1. siječnja do 30. lipnja, realizacija kapitalnog projekta nabave knjiga i umjetničkih djela odvijala se u potpunosti prema planiranoj dinamici, ostvarivši 50,01 % tekućeg proračunskog okvira. Sva sredstva utrošena su namjenski za obogaćivanje fundusa i zbirki Učilišta.</w:t>
      </w:r>
    </w:p>
    <w:p w14:paraId="334C46D8" w14:textId="37ACA6A9" w:rsidR="00146F89" w:rsidRDefault="00146F89" w:rsidP="00146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 izvršenje po izvorima i ekonomskoj klasifikaciji iznosi: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1.1. Opći prihodi i primici: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proračuna Grada Buzeta izvršeno je ukupno 1.268,80 EUR (tekući plan: 3.450,00 EUR) unutar </w:t>
      </w:r>
      <w:r w:rsidRPr="00146F89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Rashoda za nabavu proizvedene dugotrajne imovine (Skupina 42)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. Sredstva su raspoređena na nabavu knjiga (stavka 4241) u iznosu od 918,80 EUR te na muzejske izloške i predmete prirodnih rijetkosti (stavka 4243) u iznosu od 350,00 EUR.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3.1. Prihodi za posebne namjene: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vlastitih i namjenskih prihoda realiziran je minimalan iznos od 24,99 EUR (tekući plan: 500,00 EUR), koji je u potpunosti usmjeren na nabavu knjiga (stavka 4241).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5.0. Tekuće pomoći iz drugih proračuna: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ovog izvora ostvareno je značajnije izvršenje u iznosu od 8.933,12 EUR (tekući plan: 16.500,00 EUR). Sva sredstva utrošena su namjenski za nabavu knjiga (stavka 4241) sukladno odobrenim potporama.</w:t>
      </w:r>
    </w:p>
    <w:p w14:paraId="3C9A0964" w14:textId="77777777" w:rsidR="00146F89" w:rsidRDefault="00146F89" w:rsidP="00146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155CA" w14:textId="45999201" w:rsidR="00146F89" w:rsidRPr="00146F89" w:rsidRDefault="00146F89" w:rsidP="00146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Tekući projekt T101301: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Nabavka opreme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Izvorni plan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: 104.500,00 EUR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Tekući plan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: 4.500,00 EUR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Izvršenje (1-6):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2.109,03 EUR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Indeks izvršenja tekućeg plana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: 46,87 %</w:t>
      </w:r>
    </w:p>
    <w:p w14:paraId="40152529" w14:textId="21FA2D6D" w:rsidR="00146F89" w:rsidRPr="00146F89" w:rsidRDefault="00146F89" w:rsidP="00146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Obrazloženje: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Tijekom prvog polugodišta došlo je do značajne izmjene u planiranju ovog projekta, pri čemu je tekući plan smanjen sa 104.500,00 EUR na 4.500,00 EUR 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 razloga što nije prošla kandidatura na natječaju za </w:t>
      </w:r>
      <w:r w:rsidR="005F06D7"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>izradu projektne dokumentacije za rekonstrukciju zgrade muzeja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F06D7"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U okviru revidiranog tekućeg plana, projekt bilježi stabilno izvršenje od 46,87 %.</w:t>
      </w:r>
    </w:p>
    <w:p w14:paraId="2C4E6C22" w14:textId="77777777" w:rsidR="005F06D7" w:rsidRDefault="00146F89" w:rsidP="00146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Struktura izvršenja po izvorima financiranja je sljedeća: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46F8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3.1. Prihodi za posebne namjene: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vlastitih/namjenskih sredstava izvršeno je ukupno 2.109,03 EUR (što prati planiranih 4.500,00 EUR). Sredstva su u potpunosti utrošena unutar </w:t>
      </w:r>
      <w:r w:rsidRPr="00146F89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Rashoda za nabavu proizvedene dugotrajne imovine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, točnije za nabavu uredske opreme i namještaja (stavka 4221)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POS printer i klima uređaj</w:t>
      </w:r>
      <w:r w:rsidRPr="00146F8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A1F4A26" w14:textId="77777777" w:rsidR="005F06D7" w:rsidRDefault="005F06D7" w:rsidP="00146F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BC49FC" w14:textId="7A561EBD" w:rsidR="005F06D7" w:rsidRDefault="005F06D7" w:rsidP="005F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Aktivnost A101501: KULTURNE MANIFESTACIJE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Izvorni plan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>: 37.500,00 EUR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Tekući plan: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38.020,00 EUR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•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Izvršenje (1-6):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9.965,88 EUR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Indeks izvršenja tekućeg plana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>: 26,21 %</w:t>
      </w:r>
    </w:p>
    <w:p w14:paraId="519B7085" w14:textId="77777777" w:rsidR="005F06D7" w:rsidRPr="005F06D7" w:rsidRDefault="005F06D7" w:rsidP="005F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6F2C6E" w14:textId="53388DBC" w:rsidR="005F06D7" w:rsidRPr="005F06D7" w:rsidRDefault="005F06D7" w:rsidP="005F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Obrazloženje: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U izvještajnom razdoblju od 1. siječnja do 30. lipnja, financijsko izvršenje aktivnosti namijenjenih organizaciji i provedbi kulturnih manifestacija iznosi 26,21 % u odnosu na tekući plan. Ovakva dinamika troškova u prvom polugodištu je uobičajena i izravno je povezana sa sezonskim karakterom kulturnih događanja. Naime, glavnina ključnih gradskih i tradicionalnih manifestacija (poput proslave Subotine i popratnih jesenskih programa) planirana je i realizirat će se u drugoj polovici proračunske godine.</w:t>
      </w:r>
    </w:p>
    <w:p w14:paraId="59083061" w14:textId="485AE0D5" w:rsidR="005F06D7" w:rsidRPr="005F06D7" w:rsidRDefault="005F06D7" w:rsidP="005F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Sva ostvarena sredstva u prvih šest mjeseci utrošena su namjenski unutar ekonomske klasifikacije </w:t>
      </w:r>
      <w:r w:rsidRPr="005F06D7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Materijalnih rashoda (Skupina 32)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>, za tehničku i programsku realizaciju održanih događanja</w:t>
      </w:r>
      <w:r w:rsidR="008B3A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poput kino projekcija, radionica, kazališnih predstava, književnih večeri, programa za djecu, manifestaciju Raspjevana buzeština itd. 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Izvršenje po izvorima financiranja prikazuje se kako slijedi:</w:t>
      </w:r>
    </w:p>
    <w:p w14:paraId="2A34F0D3" w14:textId="617023F1" w:rsidR="005F06D7" w:rsidRPr="005F06D7" w:rsidRDefault="005F06D7" w:rsidP="005F0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1.1. Opći prihodi i primici: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proračuna Grada Buzeta za tekuće potrebe manifestacija izvršeno je ukupno 4.400,11 EUR (od tekućeg plana koji iznosi 9.000,00 EUR), što predstavlja stabilno praćenje pripremnih i operativnih troškova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3.1. Prihodi za posebne namjene: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vlastitih i namjenskih prihoda Učilišta realiziran je iznos od 4.130,77 EUR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5F06D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Izvor 5.2. Kapitalne pomoći iz drugih proračuna: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ovog izvora izvršeno je 1.435,00 EUR (tekući plan iznosi 5.870,00 EUR), a odnosi se na sufinanciranje programa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kina 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sredstvima iz eksternih proračunskih izvora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– HAVC.</w:t>
      </w:r>
      <w:r w:rsidRPr="005F06D7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339DEB4B" w14:textId="77777777" w:rsidR="00557A92" w:rsidRPr="00557A92" w:rsidRDefault="00000000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7A4BA36C">
          <v:rect id="_x0000_i1027" style="width:0;height:.75pt" o:hralign="center" o:hrstd="t" o:hr="t" fillcolor="#a0a0a0" stroked="f"/>
        </w:pict>
      </w:r>
    </w:p>
    <w:p w14:paraId="4C585C29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4. POSEBNI IZVJEŠTAJI</w:t>
      </w:r>
    </w:p>
    <w:p w14:paraId="74D46868" w14:textId="77777777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Sukladno zakonskim propisima, Učilište podnosi Izvještaj o zaduživanju na domaćem i stranom tržištu novca i kapitala u kojem se iskazuje da se ustanova u izvještajnom razdoblju </w:t>
      </w: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nije zaduživala</w:t>
      </w: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, niti ima aktivnih financijskih obveza po osnovi kredita, zajmova ili izdanih vrijednosnih papira.</w:t>
      </w:r>
    </w:p>
    <w:p w14:paraId="13B663FB" w14:textId="77777777" w:rsidR="00557A92" w:rsidRPr="00557A92" w:rsidRDefault="00000000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42C95654">
          <v:rect id="_x0000_i1028" style="width:0;height:.75pt" o:hralign="center" o:hrstd="t" o:hr="t" fillcolor="#a0a0a0" stroked="f"/>
        </w:pict>
      </w:r>
    </w:p>
    <w:p w14:paraId="572653F2" w14:textId="77777777" w:rsidR="00557A92" w:rsidRPr="00557A92" w:rsidRDefault="00557A92" w:rsidP="00557A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5. ZAKLJUČAK</w:t>
      </w:r>
    </w:p>
    <w:p w14:paraId="746F5ADB" w14:textId="77777777" w:rsidR="00557A92" w:rsidRPr="00557A92" w:rsidRDefault="00557A92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Financijsko poslovanje Pučkog otvorenog učilišta „Augustin Vivoda“ Buzet u prvom polugodištu 2026. godine bilo je stabilno, uravnoteženo i u okvirima odobrenog Financijskog plana. Sva proračunska i vlastita sredstva trošena su namjenski, racionalno i u skladu sa zakonskim propisima, prateći kalendar kulturnih i obrazovnih aktivnosti Grada Buzeta.</w:t>
      </w:r>
    </w:p>
    <w:p w14:paraId="0B170B3C" w14:textId="77777777" w:rsidR="00557A92" w:rsidRPr="00557A92" w:rsidRDefault="00000000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4101A42A">
          <v:rect id="_x0000_i1029" style="width:0;height:.75pt" o:hralign="center" o:hrstd="t" o:hr="t" fillcolor="#a0a0a0" stroked="f"/>
        </w:pict>
      </w:r>
    </w:p>
    <w:p w14:paraId="2E21B9EA" w14:textId="77777777" w:rsidR="008B3A1C" w:rsidRDefault="008B3A1C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A9243B" w14:textId="5DED721B" w:rsidR="00557A92" w:rsidRDefault="008B3A1C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Buzet, </w:t>
      </w:r>
      <w:r w:rsidR="006F6A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23.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srpnja 2026.</w:t>
      </w:r>
      <w:r w:rsidR="00557A92" w:rsidRPr="00557A9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33A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400-01/26-01/5</w:t>
      </w:r>
    </w:p>
    <w:p w14:paraId="1ED12AC8" w14:textId="756905CA" w:rsidR="008B3A1C" w:rsidRPr="00557A92" w:rsidRDefault="008B3A1C" w:rsidP="00557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 w:rsidR="00433A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2163-3-2-26-07</w:t>
      </w:r>
    </w:p>
    <w:p w14:paraId="27EB8CAD" w14:textId="77777777" w:rsidR="003643BE" w:rsidRDefault="003643BE"/>
    <w:p w14:paraId="1F9B1FC5" w14:textId="77777777" w:rsidR="00521AC6" w:rsidRDefault="00521AC6"/>
    <w:p w14:paraId="12AF119B" w14:textId="77777777" w:rsidR="00521AC6" w:rsidRDefault="00521AC6" w:rsidP="00521AC6">
      <w:pPr>
        <w:ind w:left="7080" w:firstLine="708"/>
      </w:pPr>
      <w:r>
        <w:t>PREDSJEDNICA UPRAVNOG VIJEĆA</w:t>
      </w:r>
    </w:p>
    <w:p w14:paraId="6143336F" w14:textId="165AA2BF" w:rsidR="00521AC6" w:rsidRDefault="00521AC6" w:rsidP="00521A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Pučkog otvorenog učilišta „Augustin Vivoda“ Buzet</w:t>
      </w:r>
    </w:p>
    <w:p w14:paraId="6A191824" w14:textId="77777777" w:rsidR="00521AC6" w:rsidRDefault="00521AC6" w:rsidP="00521AC6"/>
    <w:p w14:paraId="36D134ED" w14:textId="391CF44F" w:rsidR="00521AC6" w:rsidRDefault="00521AC6" w:rsidP="00521A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Tijana Benčić</w:t>
      </w:r>
    </w:p>
    <w:sectPr w:rsidR="00521AC6" w:rsidSect="00557A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F17A2"/>
    <w:multiLevelType w:val="multilevel"/>
    <w:tmpl w:val="8A78A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5247C"/>
    <w:multiLevelType w:val="multilevel"/>
    <w:tmpl w:val="B9A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9A0BD5"/>
    <w:multiLevelType w:val="multilevel"/>
    <w:tmpl w:val="4C98C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33FE"/>
    <w:multiLevelType w:val="multilevel"/>
    <w:tmpl w:val="A762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701D0"/>
    <w:multiLevelType w:val="multilevel"/>
    <w:tmpl w:val="8B52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4518D"/>
    <w:multiLevelType w:val="multilevel"/>
    <w:tmpl w:val="A4B8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04034"/>
    <w:multiLevelType w:val="multilevel"/>
    <w:tmpl w:val="9D8E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C865BE"/>
    <w:multiLevelType w:val="multilevel"/>
    <w:tmpl w:val="F456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F48F5"/>
    <w:multiLevelType w:val="multilevel"/>
    <w:tmpl w:val="2BA0E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1D2BA2"/>
    <w:multiLevelType w:val="multilevel"/>
    <w:tmpl w:val="3038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88476513">
    <w:abstractNumId w:val="4"/>
  </w:num>
  <w:num w:numId="2" w16cid:durableId="1770269998">
    <w:abstractNumId w:val="9"/>
  </w:num>
  <w:num w:numId="3" w16cid:durableId="2050062899">
    <w:abstractNumId w:val="1"/>
  </w:num>
  <w:num w:numId="4" w16cid:durableId="1833059641">
    <w:abstractNumId w:val="5"/>
  </w:num>
  <w:num w:numId="5" w16cid:durableId="1382249309">
    <w:abstractNumId w:val="6"/>
  </w:num>
  <w:num w:numId="6" w16cid:durableId="1093086893">
    <w:abstractNumId w:val="2"/>
  </w:num>
  <w:num w:numId="7" w16cid:durableId="1328166078">
    <w:abstractNumId w:val="8"/>
  </w:num>
  <w:num w:numId="8" w16cid:durableId="881017796">
    <w:abstractNumId w:val="3"/>
  </w:num>
  <w:num w:numId="9" w16cid:durableId="118186559">
    <w:abstractNumId w:val="0"/>
  </w:num>
  <w:num w:numId="10" w16cid:durableId="1025180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D3"/>
    <w:rsid w:val="00146F89"/>
    <w:rsid w:val="001B15B0"/>
    <w:rsid w:val="003643BE"/>
    <w:rsid w:val="00425F38"/>
    <w:rsid w:val="00433AAD"/>
    <w:rsid w:val="00521AC6"/>
    <w:rsid w:val="00557A92"/>
    <w:rsid w:val="005F06D7"/>
    <w:rsid w:val="006F6A72"/>
    <w:rsid w:val="007C328D"/>
    <w:rsid w:val="008068D3"/>
    <w:rsid w:val="008B3A1C"/>
    <w:rsid w:val="00927386"/>
    <w:rsid w:val="00D750C2"/>
    <w:rsid w:val="00D85BF3"/>
    <w:rsid w:val="00EE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12BC"/>
  <w15:chartTrackingRefBased/>
  <w15:docId w15:val="{60487E65-096A-497F-AF6E-6CFF2F6E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06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06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068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06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068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06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06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06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06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06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06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068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068D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068D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068D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068D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068D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068D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06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06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6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06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6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068D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068D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068D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06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068D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06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1630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Nikolić</dc:creator>
  <cp:keywords/>
  <dc:description/>
  <cp:lastModifiedBy>Saša Nikolić</cp:lastModifiedBy>
  <cp:revision>6</cp:revision>
  <cp:lastPrinted>2026-07-30T10:59:00Z</cp:lastPrinted>
  <dcterms:created xsi:type="dcterms:W3CDTF">2026-07-14T11:37:00Z</dcterms:created>
  <dcterms:modified xsi:type="dcterms:W3CDTF">2026-07-30T10:59:00Z</dcterms:modified>
</cp:coreProperties>
</file>